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8" w:rsidRPr="00C17273" w:rsidRDefault="00B53C08" w:rsidP="0047532D">
      <w:pPr>
        <w:keepNext/>
        <w:spacing w:before="1800" w:after="360"/>
        <w:jc w:val="center"/>
        <w:rPr>
          <w:b/>
          <w:sz w:val="28"/>
          <w:szCs w:val="28"/>
        </w:rPr>
      </w:pPr>
      <w:bookmarkStart w:id="0" w:name="OLE_LINK1"/>
      <w:r w:rsidRPr="00C17273">
        <w:rPr>
          <w:b/>
          <w:sz w:val="28"/>
          <w:szCs w:val="28"/>
        </w:rPr>
        <w:t>ЗАКЛЮЧЕНИЕ</w:t>
      </w:r>
      <w:r w:rsidR="00C758B4" w:rsidRPr="00C17273">
        <w:rPr>
          <w:b/>
          <w:sz w:val="28"/>
          <w:szCs w:val="28"/>
        </w:rPr>
        <w:br/>
      </w:r>
      <w:r w:rsidRPr="00C17273">
        <w:rPr>
          <w:b/>
          <w:sz w:val="28"/>
          <w:szCs w:val="28"/>
        </w:rPr>
        <w:t>счетной палаты Тульской области</w:t>
      </w:r>
      <w:r w:rsidRPr="00C17273">
        <w:rPr>
          <w:b/>
          <w:sz w:val="28"/>
          <w:szCs w:val="28"/>
        </w:rPr>
        <w:br/>
      </w:r>
      <w:r w:rsidR="000D3D7B" w:rsidRPr="00C17273">
        <w:rPr>
          <w:b/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E716FE">
        <w:rPr>
          <w:b/>
          <w:sz w:val="28"/>
          <w:szCs w:val="28"/>
        </w:rPr>
        <w:t>5</w:t>
      </w:r>
      <w:r w:rsidR="000D3D7B" w:rsidRPr="00C17273">
        <w:rPr>
          <w:b/>
          <w:sz w:val="28"/>
          <w:szCs w:val="28"/>
        </w:rPr>
        <w:t xml:space="preserve"> год»</w:t>
      </w:r>
    </w:p>
    <w:p w:rsidR="00B53C08" w:rsidRPr="00C17273" w:rsidRDefault="009D5046" w:rsidP="009905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3C08" w:rsidRPr="00C17273">
        <w:rPr>
          <w:sz w:val="28"/>
          <w:szCs w:val="28"/>
        </w:rPr>
        <w:t>аключение подготовлено счетной пал</w:t>
      </w:r>
      <w:r w:rsidR="00C758B4" w:rsidRPr="00C17273">
        <w:rPr>
          <w:sz w:val="28"/>
          <w:szCs w:val="28"/>
        </w:rPr>
        <w:t xml:space="preserve">атой Тульской области (далее – </w:t>
      </w:r>
      <w:r w:rsidR="00C758B4" w:rsidRPr="00C17273">
        <w:rPr>
          <w:i/>
          <w:sz w:val="28"/>
          <w:szCs w:val="28"/>
        </w:rPr>
        <w:t>с</w:t>
      </w:r>
      <w:r w:rsidR="00B53C08" w:rsidRPr="00C17273">
        <w:rPr>
          <w:i/>
          <w:sz w:val="28"/>
          <w:szCs w:val="28"/>
        </w:rPr>
        <w:t>четная палата</w:t>
      </w:r>
      <w:r w:rsidR="00B53C08" w:rsidRPr="00C17273">
        <w:rPr>
          <w:sz w:val="28"/>
          <w:szCs w:val="28"/>
        </w:rPr>
        <w:t>) в соответствии со статьей 34 Закона Тульской области от 09.06.2008 № 1015</w:t>
      </w:r>
      <w:r w:rsidR="00B53C08" w:rsidRPr="00C17273">
        <w:rPr>
          <w:sz w:val="28"/>
          <w:szCs w:val="28"/>
        </w:rPr>
        <w:noBreakHyphen/>
        <w:t>ЗТО «О бюджетном процессе в Тульской области»</w:t>
      </w:r>
      <w:r w:rsidR="009913A0" w:rsidRPr="00C17273">
        <w:rPr>
          <w:sz w:val="28"/>
          <w:szCs w:val="28"/>
        </w:rPr>
        <w:t xml:space="preserve"> и</w:t>
      </w:r>
      <w:r w:rsidR="00B53C08" w:rsidRPr="00C17273">
        <w:rPr>
          <w:sz w:val="28"/>
          <w:szCs w:val="28"/>
        </w:rPr>
        <w:t xml:space="preserve"> статьей 8 Закона Тульской области от 04.12.2008 № 1147</w:t>
      </w:r>
      <w:r w:rsidR="00B53C08" w:rsidRPr="00C17273">
        <w:rPr>
          <w:sz w:val="28"/>
          <w:szCs w:val="28"/>
        </w:rPr>
        <w:noBreakHyphen/>
        <w:t>ЗТО «О счетной палате Тульской области».</w:t>
      </w:r>
    </w:p>
    <w:p w:rsidR="00E716FE" w:rsidRPr="00C17273" w:rsidRDefault="00E716FE" w:rsidP="00017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 год» (далее </w:t>
      </w:r>
      <w:r w:rsidR="0020457A">
        <w:rPr>
          <w:sz w:val="28"/>
          <w:szCs w:val="28"/>
        </w:rPr>
        <w:t xml:space="preserve">также </w:t>
      </w:r>
      <w:r w:rsidRPr="00C17273">
        <w:rPr>
          <w:sz w:val="28"/>
          <w:szCs w:val="28"/>
        </w:rPr>
        <w:t xml:space="preserve">– </w:t>
      </w:r>
      <w:r w:rsidRPr="00C17273">
        <w:rPr>
          <w:i/>
          <w:sz w:val="28"/>
          <w:szCs w:val="28"/>
        </w:rPr>
        <w:t>Законопроект</w:t>
      </w:r>
      <w:r w:rsidRPr="00C17273">
        <w:rPr>
          <w:sz w:val="28"/>
          <w:szCs w:val="28"/>
        </w:rPr>
        <w:t>) внесен в Тульскую областную Думу с соблюдением срока, установленного статьей 34 Закона Тульской области «О бюджетном процессе в Тульской области».</w:t>
      </w:r>
    </w:p>
    <w:p w:rsidR="00E716FE" w:rsidRDefault="00E716FE" w:rsidP="00017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В 201</w:t>
      </w:r>
      <w:r w:rsidR="00017DB3"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 году бюджет </w:t>
      </w:r>
      <w:r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(далее – </w:t>
      </w:r>
      <w:r w:rsidRPr="00E716FE">
        <w:rPr>
          <w:i/>
          <w:sz w:val="28"/>
          <w:szCs w:val="28"/>
        </w:rPr>
        <w:t>Фонд</w:t>
      </w:r>
      <w:r>
        <w:rPr>
          <w:sz w:val="28"/>
          <w:szCs w:val="28"/>
        </w:rPr>
        <w:t>)</w:t>
      </w:r>
      <w:r w:rsidRPr="00C17273">
        <w:rPr>
          <w:sz w:val="28"/>
          <w:szCs w:val="28"/>
        </w:rPr>
        <w:t xml:space="preserve"> исполнялся в соответствии с Законом Тульской области </w:t>
      </w:r>
      <w:r>
        <w:rPr>
          <w:sz w:val="28"/>
          <w:szCs w:val="28"/>
        </w:rPr>
        <w:t xml:space="preserve">от </w:t>
      </w:r>
      <w:r w:rsidRPr="00C1727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17273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C17273">
        <w:rPr>
          <w:sz w:val="28"/>
          <w:szCs w:val="28"/>
        </w:rPr>
        <w:t xml:space="preserve"> №</w:t>
      </w:r>
      <w:r w:rsidRPr="00C17273">
        <w:rPr>
          <w:sz w:val="28"/>
          <w:szCs w:val="28"/>
          <w:lang w:val="en-US"/>
        </w:rPr>
        <w:t> </w:t>
      </w:r>
      <w:r w:rsidRPr="00C17273">
        <w:rPr>
          <w:sz w:val="28"/>
          <w:szCs w:val="28"/>
        </w:rPr>
        <w:t>2</w:t>
      </w:r>
      <w:r>
        <w:rPr>
          <w:sz w:val="28"/>
          <w:szCs w:val="28"/>
        </w:rPr>
        <w:t>22</w:t>
      </w:r>
      <w:r w:rsidRPr="00C17273">
        <w:rPr>
          <w:sz w:val="28"/>
          <w:szCs w:val="28"/>
        </w:rPr>
        <w:t>1</w:t>
      </w:r>
      <w:r w:rsidRPr="00C1727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1727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17273">
        <w:rPr>
          <w:sz w:val="28"/>
          <w:szCs w:val="28"/>
        </w:rPr>
        <w:t xml:space="preserve"> годов» (в ред</w:t>
      </w:r>
      <w:r>
        <w:rPr>
          <w:sz w:val="28"/>
          <w:szCs w:val="28"/>
        </w:rPr>
        <w:t>акции</w:t>
      </w:r>
      <w:r w:rsidRPr="00C17273">
        <w:rPr>
          <w:sz w:val="28"/>
          <w:szCs w:val="28"/>
        </w:rPr>
        <w:t xml:space="preserve"> от 2</w:t>
      </w:r>
      <w:r w:rsidR="00017DB3">
        <w:rPr>
          <w:sz w:val="28"/>
          <w:szCs w:val="28"/>
        </w:rPr>
        <w:t>8</w:t>
      </w:r>
      <w:r w:rsidRPr="00C17273">
        <w:rPr>
          <w:sz w:val="28"/>
          <w:szCs w:val="28"/>
        </w:rPr>
        <w:t>.1</w:t>
      </w:r>
      <w:r w:rsidR="00017DB3">
        <w:rPr>
          <w:sz w:val="28"/>
          <w:szCs w:val="28"/>
        </w:rPr>
        <w:t>1</w:t>
      </w:r>
      <w:r w:rsidRPr="00C17273">
        <w:rPr>
          <w:sz w:val="28"/>
          <w:szCs w:val="28"/>
        </w:rPr>
        <w:t>.201</w:t>
      </w:r>
      <w:r w:rsidR="00017DB3"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) (далее – </w:t>
      </w:r>
      <w:r w:rsidRPr="00C17273">
        <w:rPr>
          <w:i/>
          <w:sz w:val="28"/>
          <w:szCs w:val="28"/>
        </w:rPr>
        <w:t>Закон о бюджете Фонда на 201</w:t>
      </w:r>
      <w:r w:rsidR="00017DB3">
        <w:rPr>
          <w:i/>
          <w:sz w:val="28"/>
          <w:szCs w:val="28"/>
        </w:rPr>
        <w:t>5</w:t>
      </w:r>
      <w:r w:rsidRPr="00C17273">
        <w:rPr>
          <w:i/>
          <w:sz w:val="28"/>
          <w:szCs w:val="28"/>
        </w:rPr>
        <w:t xml:space="preserve"> год</w:t>
      </w:r>
      <w:r w:rsidRPr="00C17273">
        <w:rPr>
          <w:sz w:val="28"/>
          <w:szCs w:val="28"/>
        </w:rPr>
        <w:t>).</w:t>
      </w:r>
    </w:p>
    <w:p w:rsidR="00017DB3" w:rsidRPr="00C17273" w:rsidRDefault="00017DB3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Законопроектом доходы бюджета Фонда </w:t>
      </w:r>
      <w:r w:rsidR="002D3CAF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>составили</w:t>
      </w:r>
      <w:r w:rsidR="00BE1580">
        <w:rPr>
          <w:sz w:val="28"/>
          <w:szCs w:val="28"/>
        </w:rPr>
        <w:t xml:space="preserve"> 12 863 </w:t>
      </w:r>
      <w:r w:rsidR="00BE1580" w:rsidRPr="00BE1580">
        <w:rPr>
          <w:sz w:val="28"/>
          <w:szCs w:val="28"/>
        </w:rPr>
        <w:t>694,9 тыс. рублей (101,1% к назначениям, утвержденным Законом о бюджете Фонда на 2015 год), что</w:t>
      </w:r>
      <w:r w:rsidR="00BE1580">
        <w:rPr>
          <w:sz w:val="28"/>
          <w:szCs w:val="28"/>
        </w:rPr>
        <w:t xml:space="preserve"> на 11,2% выше уровня 2014 года. Расходы бюджета Фонда составили 12 853 </w:t>
      </w:r>
      <w:r w:rsidR="00BE1580" w:rsidRPr="00BE1580">
        <w:rPr>
          <w:sz w:val="28"/>
          <w:szCs w:val="28"/>
        </w:rPr>
        <w:t>210,2 тыс. рублей</w:t>
      </w:r>
      <w:r w:rsidR="00BE1580">
        <w:rPr>
          <w:sz w:val="28"/>
          <w:szCs w:val="28"/>
        </w:rPr>
        <w:t xml:space="preserve"> (</w:t>
      </w:r>
      <w:r w:rsidR="00BE1580" w:rsidRPr="00BE1580">
        <w:rPr>
          <w:sz w:val="28"/>
          <w:szCs w:val="28"/>
        </w:rPr>
        <w:t>101% к назначениям, утвержденным Законом о бюджете Фонда на 2015 год</w:t>
      </w:r>
      <w:r w:rsidR="002D3CAF">
        <w:rPr>
          <w:sz w:val="28"/>
          <w:szCs w:val="28"/>
        </w:rPr>
        <w:t>)</w:t>
      </w:r>
      <w:r w:rsidR="00BE1580" w:rsidRPr="00BE1580">
        <w:rPr>
          <w:sz w:val="28"/>
          <w:szCs w:val="28"/>
        </w:rPr>
        <w:t>,</w:t>
      </w:r>
      <w:r w:rsidR="00BE1580">
        <w:rPr>
          <w:sz w:val="28"/>
          <w:szCs w:val="28"/>
        </w:rPr>
        <w:t xml:space="preserve"> что на 2,4% выше уровня 2014 года. Расходы бюджета Фонда осуществлялись в соответствии со сводной бюджетной росписью, в которую в течение отчетного года в соответствии с действующим законодательством вносились изменения, в результате чего </w:t>
      </w:r>
      <w:r w:rsidR="001E040A">
        <w:rPr>
          <w:sz w:val="28"/>
          <w:szCs w:val="28"/>
        </w:rPr>
        <w:t xml:space="preserve">показатели сводной бюджетной росписи превысили </w:t>
      </w:r>
      <w:r w:rsidR="00BE1580">
        <w:rPr>
          <w:sz w:val="28"/>
          <w:szCs w:val="28"/>
        </w:rPr>
        <w:t>плановые показатели, установленные Законом о бюджете Фонда на 2015 год</w:t>
      </w:r>
      <w:r w:rsidR="001E040A">
        <w:rPr>
          <w:sz w:val="28"/>
          <w:szCs w:val="28"/>
        </w:rPr>
        <w:t xml:space="preserve"> на 143 192,3 тыс. рублей</w:t>
      </w:r>
      <w:r w:rsidR="00BE1580">
        <w:rPr>
          <w:sz w:val="28"/>
          <w:szCs w:val="28"/>
        </w:rPr>
        <w:t>. К</w:t>
      </w:r>
      <w:r w:rsidR="00BE1580" w:rsidRPr="00BE1580">
        <w:rPr>
          <w:sz w:val="28"/>
          <w:szCs w:val="28"/>
        </w:rPr>
        <w:t xml:space="preserve"> показателям уточненной сводной бюджетной росписи</w:t>
      </w:r>
      <w:r w:rsidR="00BE1580">
        <w:rPr>
          <w:sz w:val="28"/>
          <w:szCs w:val="28"/>
        </w:rPr>
        <w:t xml:space="preserve"> расходы бюджета Фонда </w:t>
      </w:r>
      <w:r w:rsidR="002D3CAF">
        <w:rPr>
          <w:sz w:val="28"/>
          <w:szCs w:val="28"/>
        </w:rPr>
        <w:t>составили</w:t>
      </w:r>
      <w:r w:rsidR="00BE1580">
        <w:rPr>
          <w:sz w:val="28"/>
          <w:szCs w:val="28"/>
        </w:rPr>
        <w:t xml:space="preserve"> </w:t>
      </w:r>
      <w:r w:rsidR="00BE1580" w:rsidRPr="00BE1580">
        <w:rPr>
          <w:sz w:val="28"/>
          <w:szCs w:val="28"/>
        </w:rPr>
        <w:t>99,9%.</w:t>
      </w:r>
      <w:r w:rsidR="002D3CAF">
        <w:rPr>
          <w:sz w:val="28"/>
          <w:szCs w:val="28"/>
        </w:rPr>
        <w:t xml:space="preserve"> </w:t>
      </w:r>
      <w:r w:rsidR="002D3CAF" w:rsidRPr="002D3CAF">
        <w:rPr>
          <w:sz w:val="28"/>
          <w:szCs w:val="28"/>
        </w:rPr>
        <w:t>По итогам исполнения бюджета Фонда за 2015 год</w:t>
      </w:r>
      <w:r w:rsidR="002D3CAF">
        <w:rPr>
          <w:sz w:val="28"/>
          <w:szCs w:val="28"/>
        </w:rPr>
        <w:t xml:space="preserve"> сложился профицит в размере 10 </w:t>
      </w:r>
      <w:r w:rsidR="002D3CAF" w:rsidRPr="002D3CAF">
        <w:rPr>
          <w:sz w:val="28"/>
          <w:szCs w:val="28"/>
        </w:rPr>
        <w:t>484,7 тыс. рублей</w:t>
      </w:r>
      <w:r w:rsidR="002D3CAF">
        <w:rPr>
          <w:sz w:val="28"/>
          <w:szCs w:val="28"/>
        </w:rPr>
        <w:t xml:space="preserve"> (при</w:t>
      </w:r>
      <w:r w:rsidR="002D3CAF" w:rsidRPr="002D3CAF">
        <w:rPr>
          <w:sz w:val="28"/>
          <w:szCs w:val="28"/>
        </w:rPr>
        <w:t xml:space="preserve"> запланированном в Законе о бюджете Фонда на 2015 год дефицит</w:t>
      </w:r>
      <w:r w:rsidR="002D3CAF">
        <w:rPr>
          <w:sz w:val="28"/>
          <w:szCs w:val="28"/>
        </w:rPr>
        <w:t>е</w:t>
      </w:r>
      <w:r w:rsidR="002D3CAF" w:rsidRPr="002D3CAF">
        <w:rPr>
          <w:sz w:val="28"/>
          <w:szCs w:val="28"/>
        </w:rPr>
        <w:t xml:space="preserve"> бюджета </w:t>
      </w:r>
      <w:r w:rsidR="002D3CAF">
        <w:rPr>
          <w:sz w:val="28"/>
          <w:szCs w:val="28"/>
        </w:rPr>
        <w:t xml:space="preserve">в размере </w:t>
      </w:r>
      <w:r w:rsidR="002D3CAF" w:rsidRPr="002D3CAF">
        <w:rPr>
          <w:sz w:val="28"/>
          <w:szCs w:val="28"/>
        </w:rPr>
        <w:t>3</w:t>
      </w:r>
      <w:r w:rsidR="002D3CAF">
        <w:rPr>
          <w:sz w:val="28"/>
          <w:szCs w:val="28"/>
        </w:rPr>
        <w:t> </w:t>
      </w:r>
      <w:r w:rsidR="002D3CAF" w:rsidRPr="002D3CAF">
        <w:rPr>
          <w:sz w:val="28"/>
          <w:szCs w:val="28"/>
        </w:rPr>
        <w:t>755,2 тыс. рублей</w:t>
      </w:r>
      <w:r w:rsidR="002D3CAF">
        <w:rPr>
          <w:sz w:val="28"/>
          <w:szCs w:val="28"/>
        </w:rPr>
        <w:t>).</w:t>
      </w:r>
    </w:p>
    <w:p w:rsidR="0047532D" w:rsidRDefault="00921519" w:rsidP="002D3CAF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Структура доходов бюджета Фонда в разрезе источников, сложившаяся в 201</w:t>
      </w:r>
      <w:r w:rsidR="002D3CAF">
        <w:rPr>
          <w:sz w:val="28"/>
          <w:szCs w:val="28"/>
        </w:rPr>
        <w:t>4</w:t>
      </w:r>
      <w:r w:rsidRPr="00C17273">
        <w:rPr>
          <w:sz w:val="28"/>
          <w:szCs w:val="28"/>
        </w:rPr>
        <w:t xml:space="preserve"> и 201</w:t>
      </w:r>
      <w:r w:rsidR="002D3CAF"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 годах</w:t>
      </w:r>
      <w:r w:rsidR="0047532D">
        <w:rPr>
          <w:sz w:val="28"/>
          <w:szCs w:val="28"/>
        </w:rPr>
        <w:t>,</w:t>
      </w:r>
      <w:r w:rsidR="0047532D" w:rsidRPr="0047532D">
        <w:rPr>
          <w:sz w:val="28"/>
          <w:szCs w:val="28"/>
        </w:rPr>
        <w:t xml:space="preserve"> </w:t>
      </w:r>
      <w:r w:rsidR="0047532D" w:rsidRPr="00C17273">
        <w:rPr>
          <w:sz w:val="28"/>
          <w:szCs w:val="28"/>
        </w:rPr>
        <w:t>представлен</w:t>
      </w:r>
      <w:r w:rsidR="0047532D">
        <w:rPr>
          <w:sz w:val="28"/>
          <w:szCs w:val="28"/>
        </w:rPr>
        <w:t>а</w:t>
      </w:r>
      <w:r w:rsidR="0047532D" w:rsidRPr="00C17273">
        <w:rPr>
          <w:sz w:val="28"/>
          <w:szCs w:val="28"/>
        </w:rPr>
        <w:t xml:space="preserve"> на </w:t>
      </w:r>
      <w:r w:rsidR="0047532D">
        <w:rPr>
          <w:sz w:val="28"/>
          <w:szCs w:val="28"/>
        </w:rPr>
        <w:t xml:space="preserve">следующей </w:t>
      </w:r>
      <w:r w:rsidR="0047532D" w:rsidRPr="00C17273">
        <w:rPr>
          <w:sz w:val="28"/>
          <w:szCs w:val="28"/>
        </w:rPr>
        <w:t>диаграмм</w:t>
      </w:r>
      <w:r w:rsidR="0047532D">
        <w:rPr>
          <w:sz w:val="28"/>
          <w:szCs w:val="28"/>
        </w:rPr>
        <w:t>е.</w:t>
      </w:r>
    </w:p>
    <w:p w:rsidR="00921519" w:rsidRPr="00C17273" w:rsidRDefault="005461A2" w:rsidP="00921519">
      <w:pPr>
        <w:tabs>
          <w:tab w:val="left" w:pos="10206"/>
        </w:tabs>
        <w:spacing w:after="120"/>
        <w:rPr>
          <w:sz w:val="28"/>
          <w:szCs w:val="28"/>
        </w:rPr>
      </w:pPr>
      <w:r w:rsidRPr="00C17273">
        <w:rPr>
          <w:noProof/>
          <w:sz w:val="28"/>
          <w:szCs w:val="28"/>
        </w:rPr>
        <w:lastRenderedPageBreak/>
        <w:drawing>
          <wp:inline distT="0" distB="0" distL="0" distR="0" wp14:anchorId="184496DE" wp14:editId="1A5C7A66">
            <wp:extent cx="2876550" cy="36000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17DB3" w:rsidRPr="00C17273">
        <w:rPr>
          <w:noProof/>
          <w:sz w:val="28"/>
          <w:szCs w:val="28"/>
        </w:rPr>
        <w:drawing>
          <wp:inline distT="0" distB="0" distL="0" distR="0" wp14:anchorId="68D053EC" wp14:editId="1B307FC5">
            <wp:extent cx="2876550" cy="36000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422" w:rsidRDefault="00635422" w:rsidP="00A506D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C87B63">
        <w:rPr>
          <w:sz w:val="28"/>
          <w:szCs w:val="28"/>
        </w:rPr>
        <w:t xml:space="preserve">Объем межбюджетных трансфертов из бюджета области </w:t>
      </w:r>
      <w:r>
        <w:rPr>
          <w:sz w:val="28"/>
          <w:szCs w:val="28"/>
        </w:rPr>
        <w:t xml:space="preserve">в 2015 году </w:t>
      </w:r>
      <w:r w:rsidR="00A506D9">
        <w:rPr>
          <w:sz w:val="28"/>
          <w:szCs w:val="28"/>
        </w:rPr>
        <w:t xml:space="preserve">значительно </w:t>
      </w:r>
      <w:r w:rsidRPr="00C87B63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, поскольку в соответствии с действующим законодательством в бюджете области не предусматривались </w:t>
      </w:r>
      <w:r w:rsidRPr="00B135CB">
        <w:rPr>
          <w:sz w:val="28"/>
          <w:szCs w:val="28"/>
        </w:rPr>
        <w:t xml:space="preserve">межбюджетные трансферты бюджету Фонда на дополнительное финансовое обеспечение реализации территориальной программы </w:t>
      </w:r>
      <w:r w:rsidR="00A506D9">
        <w:rPr>
          <w:sz w:val="28"/>
          <w:szCs w:val="28"/>
        </w:rPr>
        <w:t>обязательного медицинского страхования</w:t>
      </w:r>
      <w:r w:rsidRPr="00B135CB">
        <w:rPr>
          <w:sz w:val="28"/>
          <w:szCs w:val="28"/>
        </w:rPr>
        <w:t xml:space="preserve"> в пределах базовой программы </w:t>
      </w:r>
      <w:r w:rsidR="00A506D9">
        <w:rPr>
          <w:sz w:val="28"/>
          <w:szCs w:val="28"/>
        </w:rPr>
        <w:t>обязательного медицинского страхования</w:t>
      </w:r>
      <w:r w:rsidR="00044B7A">
        <w:rPr>
          <w:rStyle w:val="af0"/>
          <w:sz w:val="28"/>
          <w:szCs w:val="28"/>
        </w:rPr>
        <w:footnoteReference w:id="1"/>
      </w:r>
      <w:r w:rsidRPr="00C87B63">
        <w:rPr>
          <w:sz w:val="28"/>
          <w:szCs w:val="28"/>
        </w:rPr>
        <w:t>.</w:t>
      </w:r>
    </w:p>
    <w:p w:rsidR="0047532D" w:rsidRDefault="001E6FD7" w:rsidP="00A506D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1727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53CFDE08" wp14:editId="6885CAA5">
            <wp:simplePos x="0" y="0"/>
            <wp:positionH relativeFrom="column">
              <wp:posOffset>-1080135</wp:posOffset>
            </wp:positionH>
            <wp:positionV relativeFrom="paragraph">
              <wp:posOffset>487680</wp:posOffset>
            </wp:positionV>
            <wp:extent cx="8347075" cy="363855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273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8016AF3" wp14:editId="1970CAD7">
            <wp:simplePos x="0" y="0"/>
            <wp:positionH relativeFrom="column">
              <wp:posOffset>2814971</wp:posOffset>
            </wp:positionH>
            <wp:positionV relativeFrom="paragraph">
              <wp:posOffset>834662</wp:posOffset>
            </wp:positionV>
            <wp:extent cx="2600375" cy="2548890"/>
            <wp:effectExtent l="0" t="0" r="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2D">
        <w:rPr>
          <w:sz w:val="28"/>
          <w:szCs w:val="28"/>
        </w:rPr>
        <w:t>С</w:t>
      </w:r>
      <w:r w:rsidR="0047532D" w:rsidRPr="00C17273">
        <w:rPr>
          <w:sz w:val="28"/>
          <w:szCs w:val="28"/>
        </w:rPr>
        <w:t>труктура расходов бюджета Фонда, сложившаяся в 201</w:t>
      </w:r>
      <w:r w:rsidR="0047532D">
        <w:rPr>
          <w:sz w:val="28"/>
          <w:szCs w:val="28"/>
        </w:rPr>
        <w:t>5</w:t>
      </w:r>
      <w:r w:rsidR="0047532D" w:rsidRPr="00C17273">
        <w:rPr>
          <w:sz w:val="28"/>
          <w:szCs w:val="28"/>
        </w:rPr>
        <w:t xml:space="preserve"> году, представлен</w:t>
      </w:r>
      <w:r w:rsidR="0047532D">
        <w:rPr>
          <w:sz w:val="28"/>
          <w:szCs w:val="28"/>
        </w:rPr>
        <w:t>а</w:t>
      </w:r>
      <w:r w:rsidR="0047532D" w:rsidRPr="00C17273">
        <w:rPr>
          <w:sz w:val="28"/>
          <w:szCs w:val="28"/>
        </w:rPr>
        <w:t xml:space="preserve"> на </w:t>
      </w:r>
      <w:r w:rsidR="0047532D">
        <w:rPr>
          <w:sz w:val="28"/>
          <w:szCs w:val="28"/>
        </w:rPr>
        <w:t xml:space="preserve">следующей </w:t>
      </w:r>
      <w:r w:rsidR="0047532D" w:rsidRPr="00C17273">
        <w:rPr>
          <w:sz w:val="28"/>
          <w:szCs w:val="28"/>
        </w:rPr>
        <w:t>диаграмм</w:t>
      </w:r>
      <w:r w:rsidR="0047532D">
        <w:rPr>
          <w:sz w:val="28"/>
          <w:szCs w:val="28"/>
        </w:rPr>
        <w:t>е</w:t>
      </w:r>
      <w:r w:rsidR="0047532D" w:rsidRPr="00C17273">
        <w:rPr>
          <w:sz w:val="28"/>
          <w:szCs w:val="28"/>
        </w:rPr>
        <w:t>.</w:t>
      </w:r>
    </w:p>
    <w:bookmarkEnd w:id="0"/>
    <w:p w:rsidR="0020457A" w:rsidRDefault="005323A3" w:rsidP="005323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приложений к Законопроекту представлен Отчет о распределении в 2015 году межбюджетных трансфертов из бюджета Фонда, </w:t>
      </w:r>
      <w:r w:rsidRPr="005323A3">
        <w:rPr>
          <w:sz w:val="28"/>
          <w:szCs w:val="28"/>
        </w:rPr>
        <w:t xml:space="preserve">направляемых бюджетам территориальных фондов обязательного медицинского страхования субъектов </w:t>
      </w:r>
      <w:r>
        <w:rPr>
          <w:sz w:val="28"/>
          <w:szCs w:val="28"/>
        </w:rPr>
        <w:t>Российской Ф</w:t>
      </w:r>
      <w:r w:rsidRPr="005323A3">
        <w:rPr>
          <w:sz w:val="28"/>
          <w:szCs w:val="28"/>
        </w:rPr>
        <w:t xml:space="preserve">едерации для расчетов за медицинскую </w:t>
      </w:r>
      <w:r>
        <w:rPr>
          <w:sz w:val="28"/>
          <w:szCs w:val="28"/>
        </w:rPr>
        <w:t>помощь, оказанную за пределами Т</w:t>
      </w:r>
      <w:r w:rsidRPr="005323A3">
        <w:rPr>
          <w:sz w:val="28"/>
          <w:szCs w:val="28"/>
        </w:rPr>
        <w:t xml:space="preserve">ульской области лицам, </w:t>
      </w:r>
      <w:r>
        <w:rPr>
          <w:sz w:val="28"/>
          <w:szCs w:val="28"/>
        </w:rPr>
        <w:t>имеющим выданный на территории Т</w:t>
      </w:r>
      <w:r w:rsidRPr="005323A3">
        <w:rPr>
          <w:sz w:val="28"/>
          <w:szCs w:val="28"/>
        </w:rPr>
        <w:t>ульской области полис обязательного медицинского страхования</w:t>
      </w:r>
      <w:r>
        <w:rPr>
          <w:sz w:val="28"/>
          <w:szCs w:val="28"/>
        </w:rPr>
        <w:t>. Показатели данного приложения соответствуют Сведениям о расчетах между территориальными фондами ОМС за медицинскую помощь, оказанную застрахованным лицам за пределами территории субъекта Российской Федерации, в котором выдан полис ОМС, за 2015 год (форма № 2</w:t>
      </w:r>
      <w:r>
        <w:rPr>
          <w:sz w:val="28"/>
          <w:szCs w:val="28"/>
        </w:rPr>
        <w:noBreakHyphen/>
        <w:t>расчеты</w:t>
      </w:r>
      <w:r w:rsidR="005124F3">
        <w:rPr>
          <w:sz w:val="28"/>
          <w:szCs w:val="28"/>
        </w:rPr>
        <w:t>, утвержденная Приказом Федерального фонда обязательного медицинского страхования от 25.09.2014 № 153).</w:t>
      </w:r>
    </w:p>
    <w:p w:rsidR="002D3CAF" w:rsidRDefault="005124F3" w:rsidP="005124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47532D" w:rsidRPr="0047532D">
        <w:rPr>
          <w:sz w:val="28"/>
          <w:szCs w:val="28"/>
        </w:rPr>
        <w:t>оказатели Законопроекта соответствуют показателям Отчета об исполнении бюджета территориального фонда обязательного медицинского страхования Тульской области за 201</w:t>
      </w:r>
      <w:r w:rsidR="0047532D">
        <w:rPr>
          <w:sz w:val="28"/>
          <w:szCs w:val="28"/>
        </w:rPr>
        <w:t>5</w:t>
      </w:r>
      <w:r w:rsidR="0047532D" w:rsidRPr="0047532D">
        <w:rPr>
          <w:sz w:val="28"/>
          <w:szCs w:val="28"/>
        </w:rPr>
        <w:t xml:space="preserve"> год, который по результатам контрольного мероприятия «Внешняя проверка годового отчета об исполнении бюджета территориального фонда обязательного медицинского страхования Тульской области за 201</w:t>
      </w:r>
      <w:r w:rsidR="0047532D">
        <w:rPr>
          <w:sz w:val="28"/>
          <w:szCs w:val="28"/>
        </w:rPr>
        <w:t>5</w:t>
      </w:r>
      <w:r w:rsidR="0047532D" w:rsidRPr="0047532D">
        <w:rPr>
          <w:sz w:val="28"/>
          <w:szCs w:val="28"/>
        </w:rPr>
        <w:t xml:space="preserve"> год», проведенного счетной палатой в Фонде, признан достоверным.</w:t>
      </w:r>
      <w:bookmarkStart w:id="1" w:name="_GoBack"/>
      <w:bookmarkEnd w:id="1"/>
    </w:p>
    <w:sectPr w:rsidR="002D3CAF" w:rsidSect="00021827">
      <w:headerReference w:type="even" r:id="rId12"/>
      <w:headerReference w:type="default" r:id="rId13"/>
      <w:footerReference w:type="even" r:id="rId14"/>
      <w:pgSz w:w="11906" w:h="16838" w:code="9"/>
      <w:pgMar w:top="1134" w:right="851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50" w:rsidRDefault="00E06650" w:rsidP="00915009">
      <w:r>
        <w:separator/>
      </w:r>
    </w:p>
  </w:endnote>
  <w:endnote w:type="continuationSeparator" w:id="0">
    <w:p w:rsidR="00E06650" w:rsidRDefault="00E06650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50" w:rsidRDefault="00E06650" w:rsidP="00915009">
      <w:r>
        <w:separator/>
      </w:r>
    </w:p>
  </w:footnote>
  <w:footnote w:type="continuationSeparator" w:id="0">
    <w:p w:rsidR="00E06650" w:rsidRDefault="00E06650" w:rsidP="00915009">
      <w:r>
        <w:continuationSeparator/>
      </w:r>
    </w:p>
  </w:footnote>
  <w:footnote w:id="1">
    <w:p w:rsidR="00044B7A" w:rsidRPr="00044B7A" w:rsidRDefault="00044B7A" w:rsidP="00044B7A">
      <w:pPr>
        <w:pStyle w:val="ae"/>
        <w:jc w:val="both"/>
        <w:rPr>
          <w:sz w:val="18"/>
          <w:szCs w:val="18"/>
        </w:rPr>
      </w:pPr>
      <w:r w:rsidRPr="00044B7A">
        <w:rPr>
          <w:rStyle w:val="af0"/>
          <w:sz w:val="18"/>
          <w:szCs w:val="18"/>
        </w:rPr>
        <w:footnoteRef/>
      </w:r>
      <w:r w:rsidRPr="00044B7A">
        <w:rPr>
          <w:sz w:val="18"/>
          <w:szCs w:val="18"/>
        </w:rPr>
        <w:t xml:space="preserve"> На финансовое обеспечение скорой медицинской помощи; на финансовое обеспечение расходов, включаемых в структуру тарифа на оплату медицинской помощи; на повышение заработной платы работникам учреждений здравоохранения, финансовое обеспечение которых осуществляется за счет средств обязательного медицинского страхования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3CFF">
      <w:rPr>
        <w:rStyle w:val="a9"/>
        <w:noProof/>
      </w:rPr>
      <w:t>3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1149"/>
    <w:rsid w:val="001E1716"/>
    <w:rsid w:val="001E1997"/>
    <w:rsid w:val="001E2544"/>
    <w:rsid w:val="001E2AF7"/>
    <w:rsid w:val="001E3C39"/>
    <w:rsid w:val="001E45EE"/>
    <w:rsid w:val="001E4D05"/>
    <w:rsid w:val="001E6929"/>
    <w:rsid w:val="001E698B"/>
    <w:rsid w:val="001E6A66"/>
    <w:rsid w:val="001E6FD7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2513"/>
    <w:rsid w:val="00362864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E10E0"/>
    <w:rsid w:val="003E25F2"/>
    <w:rsid w:val="003E4331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520"/>
    <w:rsid w:val="00433BCA"/>
    <w:rsid w:val="0043473F"/>
    <w:rsid w:val="00434B1C"/>
    <w:rsid w:val="0043631B"/>
    <w:rsid w:val="00440034"/>
    <w:rsid w:val="004405F5"/>
    <w:rsid w:val="004413E7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3CFF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7B38"/>
    <w:rsid w:val="005F0297"/>
    <w:rsid w:val="005F0B06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631D"/>
    <w:rsid w:val="00717BE4"/>
    <w:rsid w:val="00721AF3"/>
    <w:rsid w:val="00722856"/>
    <w:rsid w:val="00722A53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5E47"/>
    <w:rsid w:val="007360DE"/>
    <w:rsid w:val="00736A26"/>
    <w:rsid w:val="007378CB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561"/>
    <w:rsid w:val="00857D49"/>
    <w:rsid w:val="00857E41"/>
    <w:rsid w:val="008606DD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D5046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763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3914"/>
    <w:rsid w:val="00BC3DCF"/>
    <w:rsid w:val="00BC3F2B"/>
    <w:rsid w:val="00BC4E0B"/>
    <w:rsid w:val="00BC53AC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41D1"/>
    <w:rsid w:val="00DD56E7"/>
    <w:rsid w:val="00DD5882"/>
    <w:rsid w:val="00DD5CF5"/>
    <w:rsid w:val="00DD5D2B"/>
    <w:rsid w:val="00DD69F0"/>
    <w:rsid w:val="00DD7009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B63"/>
    <w:rsid w:val="00DF196C"/>
    <w:rsid w:val="00DF3C2F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650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78FB"/>
    <w:rsid w:val="00E2002C"/>
    <w:rsid w:val="00E20642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3566"/>
    <w:rsid w:val="00ED4F57"/>
    <w:rsid w:val="00ED5D48"/>
    <w:rsid w:val="00EE20AB"/>
    <w:rsid w:val="00EE3EA3"/>
    <w:rsid w:val="00EE463B"/>
    <w:rsid w:val="00EE4B20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47261476421402E-3"/>
          <c:y val="0.20374880375797089"/>
          <c:w val="0.99420555874224248"/>
          <c:h val="0.79625111111111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42"/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bubble3D val="0"/>
            <c:explosion val="0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019884931602093E-2"/>
                  <c:y val="-5.109984818664324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75543619961412E-2"/>
                  <c:y val="6.904799274407157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141801811197443"/>
                  <c:y val="-0.146686426941384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Поступления из бюджета области</c:v>
                </c:pt>
                <c:pt idx="1">
                  <c:v>Поступления из бюджета ФФОМС</c:v>
                </c:pt>
                <c:pt idx="2">
                  <c:v>Другие доходы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7.2999999999999995E-2</c:v>
                </c:pt>
                <c:pt idx="1">
                  <c:v>0.91300000000000003</c:v>
                </c:pt>
                <c:pt idx="2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47261476421402E-3"/>
          <c:y val="0.20374880375797089"/>
          <c:w val="0.99420555874224248"/>
          <c:h val="0.79625111111111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42"/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bubble3D val="0"/>
            <c:explosion val="0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019884931602093E-2"/>
                  <c:y val="-5.109984818664324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571570110027636"/>
                  <c:y val="1.0432758350081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141801811197443"/>
                  <c:y val="-0.146686426941384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Поступления из бюджета области</c:v>
                </c:pt>
                <c:pt idx="1">
                  <c:v>Поступления из бюджета ФФОМС</c:v>
                </c:pt>
                <c:pt idx="2">
                  <c:v>Другие доходы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2.0000000000000001E-4</c:v>
                </c:pt>
                <c:pt idx="1">
                  <c:v>0.98480000000000001</c:v>
                </c:pt>
                <c:pt idx="2">
                  <c:v>1.4999999999999999E-2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3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9"/>
            <c:spPr>
              <a:solidFill>
                <a:schemeClr val="bg2">
                  <a:lumMod val="90000"/>
                </a:schemeClr>
              </a:solidFill>
            </c:spPr>
          </c:dPt>
          <c:dPt>
            <c:idx val="1"/>
            <c:bubble3D val="0"/>
            <c:explosion val="5"/>
            <c:spPr>
              <a:solidFill>
                <a:schemeClr val="bg2">
                  <a:lumMod val="75000"/>
                </a:schemeClr>
              </a:solidFill>
            </c:spPr>
          </c:dPt>
          <c:dPt>
            <c:idx val="2"/>
            <c:bubble3D val="0"/>
            <c:explosion val="26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0.37095257919690439"/>
                  <c:y val="1.262700801143299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00">
                      <a:effectLst>
                        <a:glow rad="139700">
                          <a:schemeClr val="bg1">
                            <a:alpha val="40000"/>
                          </a:schemeClr>
                        </a:glo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13037800666704E-2"/>
                  <c:y val="-8.7190918976207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22899039483891"/>
                      <c:h val="0.1692487089788438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362746062992126"/>
                  <c:y val="-2.05788194444444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89435695538054E-2"/>
                  <c:y val="-0.423736720409948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Расходы на обеспечение организации ОМС на территории области</c:v>
                </c:pt>
                <c:pt idx="1">
                  <c:v>Расходы на финансирование мероприятий в сфере здравоохранения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0.998</c:v>
                </c:pt>
                <c:pt idx="1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34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6"/>
            <c:spPr>
              <a:solidFill>
                <a:schemeClr val="bg2">
                  <a:lumMod val="75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bubble3D val="0"/>
            <c:explosion val="26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0.18596213934796621"/>
                  <c:y val="-0.2777475685494469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600">
                      <a:effectLst>
                        <a:glow rad="139700">
                          <a:schemeClr val="bg1">
                            <a:alpha val="40000"/>
                          </a:schemeClr>
                        </a:glo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975735612926012"/>
                      <c:h val="0.496263079222720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7382709973753281E-2"/>
                  <c:y val="2.64323946406262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362746062992126"/>
                  <c:y val="-2.057881944444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89435695538054E-2"/>
                  <c:y val="-0.423736720409948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Выполнение территориальной программы ОМС, оплата медорганизациям области медпомощи, оказанной застрахованным на территориях других субъектов РФ</c:v>
                </c:pt>
                <c:pt idx="1">
                  <c:v>Выполнение функций аппаратом управления Фонда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0.98799999999999999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6C05-7D08-463B-87B1-626515E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2016-06-02T10:12:00Z</cp:lastPrinted>
  <dcterms:created xsi:type="dcterms:W3CDTF">2016-06-24T09:31:00Z</dcterms:created>
  <dcterms:modified xsi:type="dcterms:W3CDTF">2016-06-24T09:31:00Z</dcterms:modified>
</cp:coreProperties>
</file>